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A80" w:rsidRPr="00495D1B" w:rsidRDefault="00A43A80" w:rsidP="00120C04">
      <w:pPr>
        <w:spacing w:line="240" w:lineRule="auto"/>
        <w:rPr>
          <w:u w:val="single"/>
          <w:lang w:val="pt-PT"/>
        </w:rPr>
      </w:pPr>
      <w:r w:rsidRPr="00495D1B">
        <w:rPr>
          <w:u w:val="single"/>
          <w:lang w:val="pt-PT"/>
        </w:rPr>
        <w:t>Introdução e Guia do Modelo d</w:t>
      </w:r>
      <w:r w:rsidR="00495D1B">
        <w:rPr>
          <w:u w:val="single"/>
          <w:lang w:val="pt-PT"/>
        </w:rPr>
        <w:t>e</w:t>
      </w:r>
      <w:r w:rsidRPr="00495D1B">
        <w:rPr>
          <w:u w:val="single"/>
          <w:lang w:val="pt-PT"/>
        </w:rPr>
        <w:t xml:space="preserve"> Plano de Resposta </w:t>
      </w:r>
      <w:r w:rsidR="00495D1B">
        <w:rPr>
          <w:u w:val="single"/>
          <w:lang w:val="pt-PT"/>
        </w:rPr>
        <w:t>à</w:t>
      </w:r>
      <w:r w:rsidRPr="00495D1B">
        <w:rPr>
          <w:u w:val="single"/>
          <w:lang w:val="pt-PT"/>
        </w:rPr>
        <w:t xml:space="preserve"> Emergência de Saúde Pública </w:t>
      </w:r>
      <w:proofErr w:type="gramStart"/>
      <w:r w:rsidRPr="00495D1B">
        <w:rPr>
          <w:u w:val="single"/>
          <w:lang w:val="pt-PT"/>
        </w:rPr>
        <w:t>para</w:t>
      </w:r>
      <w:proofErr w:type="gramEnd"/>
      <w:r w:rsidRPr="00495D1B">
        <w:rPr>
          <w:u w:val="single"/>
          <w:lang w:val="pt-PT"/>
        </w:rPr>
        <w:t xml:space="preserve"> os Pontos de Entrada</w:t>
      </w:r>
    </w:p>
    <w:p w:rsidR="00CF7C96" w:rsidRPr="00495D1B" w:rsidRDefault="00CF7C96" w:rsidP="00120C04">
      <w:pPr>
        <w:spacing w:line="240" w:lineRule="auto"/>
        <w:rPr>
          <w:lang w:val="pt-PT"/>
        </w:rPr>
      </w:pPr>
      <w:r w:rsidRPr="00495D1B">
        <w:rPr>
          <w:lang w:val="pt-PT"/>
        </w:rPr>
        <w:t xml:space="preserve">Para criar um Plano de Resposta </w:t>
      </w:r>
      <w:r w:rsidR="00495D1B">
        <w:rPr>
          <w:lang w:val="pt-PT"/>
        </w:rPr>
        <w:t xml:space="preserve">à </w:t>
      </w:r>
      <w:r w:rsidRPr="00495D1B">
        <w:rPr>
          <w:lang w:val="pt-PT"/>
        </w:rPr>
        <w:t xml:space="preserve">Emergência de Saúde Pública (PRESP) nos pontos de entrada (PDE), </w:t>
      </w:r>
      <w:r w:rsidR="00BB431D" w:rsidRPr="00BB431D">
        <w:rPr>
          <w:lang w:val="pt-PT"/>
        </w:rPr>
        <w:t>a Equipa G</w:t>
      </w:r>
      <w:r w:rsidR="00495D1B">
        <w:rPr>
          <w:lang w:val="pt-PT"/>
        </w:rPr>
        <w:t>lobal</w:t>
      </w:r>
      <w:r w:rsidR="00BB431D" w:rsidRPr="00BB431D">
        <w:rPr>
          <w:lang w:val="pt-PT"/>
        </w:rPr>
        <w:t xml:space="preserve"> de Saúde nas Fronteiras dos Centros de Controlo e Prevenção de Doenças (CDC</w:t>
      </w:r>
      <w:r w:rsidRPr="00495D1B">
        <w:rPr>
          <w:lang w:val="pt-PT"/>
        </w:rPr>
        <w:t xml:space="preserve">) dos EUA criou o seguinte modelo </w:t>
      </w:r>
      <w:r w:rsidR="00495D1B">
        <w:rPr>
          <w:lang w:val="pt-PT"/>
        </w:rPr>
        <w:t xml:space="preserve">de </w:t>
      </w:r>
      <w:r w:rsidRPr="00495D1B">
        <w:rPr>
          <w:lang w:val="pt-PT"/>
        </w:rPr>
        <w:t>PRESP</w:t>
      </w:r>
      <w:r w:rsidR="00FF534C" w:rsidRPr="00495D1B">
        <w:rPr>
          <w:lang w:val="pt-PT"/>
        </w:rPr>
        <w:t xml:space="preserve">. </w:t>
      </w:r>
      <w:r w:rsidRPr="00495D1B">
        <w:rPr>
          <w:lang w:val="pt-PT"/>
        </w:rPr>
        <w:t xml:space="preserve">O modelo </w:t>
      </w:r>
      <w:r w:rsidR="00495D1B">
        <w:rPr>
          <w:lang w:val="pt-PT"/>
        </w:rPr>
        <w:t xml:space="preserve">de </w:t>
      </w:r>
      <w:r w:rsidRPr="00495D1B">
        <w:rPr>
          <w:lang w:val="pt-PT"/>
        </w:rPr>
        <w:t>PRESP incorpora as melhores práticas</w:t>
      </w:r>
      <w:r w:rsidR="00495D1B">
        <w:rPr>
          <w:lang w:val="pt-PT"/>
        </w:rPr>
        <w:t xml:space="preserve"> </w:t>
      </w:r>
      <w:r w:rsidR="00EA4826">
        <w:rPr>
          <w:lang w:val="pt-PT"/>
        </w:rPr>
        <w:t xml:space="preserve">do </w:t>
      </w:r>
      <w:r w:rsidR="00EA4826" w:rsidRPr="00495D1B">
        <w:rPr>
          <w:lang w:val="pt-PT"/>
        </w:rPr>
        <w:t>Guide</w:t>
      </w:r>
      <w:r w:rsidR="00495D1B" w:rsidRPr="00495D1B">
        <w:rPr>
          <w:i/>
          <w:lang w:val="pt-PT"/>
        </w:rPr>
        <w:t xml:space="preserve"> for </w:t>
      </w:r>
      <w:r w:rsidR="00495D1B" w:rsidRPr="00EA4826">
        <w:rPr>
          <w:i/>
          <w:lang w:val="en-GB"/>
        </w:rPr>
        <w:t xml:space="preserve">Public Health Emergency Contingency Planning at Designated Points of Entry </w:t>
      </w:r>
      <w:r w:rsidR="00495D1B" w:rsidRPr="00495D1B">
        <w:rPr>
          <w:i/>
          <w:lang w:val="pt-PT"/>
        </w:rPr>
        <w:t>(versão portuguesa)</w:t>
      </w:r>
      <w:r w:rsidR="00495D1B">
        <w:rPr>
          <w:i/>
          <w:lang w:val="pt-PT"/>
        </w:rPr>
        <w:t xml:space="preserve"> </w:t>
      </w:r>
      <w:r w:rsidRPr="00495D1B">
        <w:rPr>
          <w:lang w:val="pt-PT"/>
        </w:rPr>
        <w:t>da Organização Mundial d</w:t>
      </w:r>
      <w:r w:rsidR="00495D1B">
        <w:rPr>
          <w:lang w:val="pt-PT"/>
        </w:rPr>
        <w:t>a</w:t>
      </w:r>
      <w:r w:rsidRPr="00495D1B">
        <w:rPr>
          <w:lang w:val="pt-PT"/>
        </w:rPr>
        <w:t xml:space="preserve"> Saúde (OMS), o modelo para um plano de preparação </w:t>
      </w:r>
      <w:r w:rsidR="00495D1B">
        <w:rPr>
          <w:lang w:val="pt-PT"/>
        </w:rPr>
        <w:t>para</w:t>
      </w:r>
      <w:r w:rsidR="00495D1B" w:rsidRPr="00495D1B">
        <w:rPr>
          <w:lang w:val="pt-PT"/>
        </w:rPr>
        <w:t xml:space="preserve"> </w:t>
      </w:r>
      <w:r w:rsidRPr="00495D1B">
        <w:rPr>
          <w:lang w:val="pt-PT"/>
        </w:rPr>
        <w:t>emergência de saúde pública de aviação</w:t>
      </w:r>
      <w:r w:rsidR="00495D1B" w:rsidRPr="00495D1B">
        <w:rPr>
          <w:lang w:val="pt-PT"/>
        </w:rPr>
        <w:t xml:space="preserve"> da Organização da Aviação Civil Internacional (OACI)</w:t>
      </w:r>
      <w:r w:rsidRPr="00495D1B">
        <w:rPr>
          <w:lang w:val="pt-PT"/>
        </w:rPr>
        <w:t xml:space="preserve">, e o modelo </w:t>
      </w:r>
      <w:r w:rsidR="00495D1B">
        <w:rPr>
          <w:lang w:val="pt-PT"/>
        </w:rPr>
        <w:t xml:space="preserve">do </w:t>
      </w:r>
      <w:r w:rsidRPr="00495D1B">
        <w:rPr>
          <w:lang w:val="pt-PT"/>
        </w:rPr>
        <w:t xml:space="preserve">CDC para um plano de resposta a doenças transmissíveis </w:t>
      </w:r>
      <w:r w:rsidR="0090553B" w:rsidRPr="00495D1B">
        <w:rPr>
          <w:lang w:val="pt-PT"/>
        </w:rPr>
        <w:t xml:space="preserve">nos </w:t>
      </w:r>
      <w:r w:rsidRPr="00495D1B">
        <w:rPr>
          <w:lang w:val="pt-PT"/>
        </w:rPr>
        <w:t xml:space="preserve">PDE. Embora o modelo </w:t>
      </w:r>
      <w:r w:rsidR="00495D1B">
        <w:rPr>
          <w:lang w:val="pt-PT"/>
        </w:rPr>
        <w:t xml:space="preserve">de </w:t>
      </w:r>
      <w:r w:rsidRPr="00495D1B">
        <w:rPr>
          <w:lang w:val="pt-PT"/>
        </w:rPr>
        <w:t xml:space="preserve">PRESP e os documentos de acompanhamento deste pacote sejam específicos dos aeroportos, o modelo pode ser adaptado para qualquer tipo de PDE, incluindo portos e </w:t>
      </w:r>
      <w:r w:rsidR="00495D1B">
        <w:rPr>
          <w:lang w:val="pt-PT"/>
        </w:rPr>
        <w:t>fronteiras</w:t>
      </w:r>
      <w:r w:rsidR="00495D1B" w:rsidRPr="00495D1B">
        <w:rPr>
          <w:lang w:val="pt-PT"/>
        </w:rPr>
        <w:t xml:space="preserve"> </w:t>
      </w:r>
      <w:r w:rsidRPr="00495D1B">
        <w:rPr>
          <w:lang w:val="pt-PT"/>
        </w:rPr>
        <w:t>terrestres.</w:t>
      </w:r>
    </w:p>
    <w:p w:rsidR="00FF534C" w:rsidRPr="00495D1B" w:rsidRDefault="0030767B" w:rsidP="0030767B">
      <w:pPr>
        <w:rPr>
          <w:lang w:val="pt-PT"/>
        </w:rPr>
      </w:pPr>
      <w:r w:rsidRPr="00495D1B">
        <w:rPr>
          <w:lang w:val="pt-PT"/>
        </w:rPr>
        <w:t xml:space="preserve">O modelo </w:t>
      </w:r>
      <w:r w:rsidR="00495D1B">
        <w:rPr>
          <w:lang w:val="pt-PT"/>
        </w:rPr>
        <w:t xml:space="preserve">de </w:t>
      </w:r>
      <w:r w:rsidRPr="00495D1B">
        <w:rPr>
          <w:lang w:val="pt-PT"/>
        </w:rPr>
        <w:t xml:space="preserve">PRESP não deve ser utilizado literalmente como PRESP de um aeroporto. Pelo contrário, o modelo é um guia que descreve secções que são valiosas para inserir num PRESP e que devem ser adaptadas às </w:t>
      </w:r>
      <w:r w:rsidR="00495D1B">
        <w:rPr>
          <w:lang w:val="pt-PT"/>
        </w:rPr>
        <w:t>especificidades</w:t>
      </w:r>
      <w:r w:rsidR="00495D1B" w:rsidRPr="00495D1B">
        <w:rPr>
          <w:lang w:val="pt-PT"/>
        </w:rPr>
        <w:t xml:space="preserve"> </w:t>
      </w:r>
      <w:r w:rsidRPr="00495D1B">
        <w:rPr>
          <w:lang w:val="pt-PT"/>
        </w:rPr>
        <w:t>de cada contexto do PDE</w:t>
      </w:r>
      <w:r w:rsidR="00FF534C" w:rsidRPr="00495D1B">
        <w:rPr>
          <w:lang w:val="pt-PT"/>
        </w:rPr>
        <w:t xml:space="preserve">. </w:t>
      </w:r>
      <w:r w:rsidRPr="00495D1B">
        <w:rPr>
          <w:lang w:val="pt-PT"/>
        </w:rPr>
        <w:t xml:space="preserve">Muitas vezes, os cabeçalhos das secções são acompanhados de explicações e orientações de implementação. Por exemplo, as caixas cinzentas do modelo com fonte em itálico oferecem orientações de implementação ou instruções para que o PDE insira a sua informação específica. Estas </w:t>
      </w:r>
      <w:r w:rsidR="00975CAE">
        <w:rPr>
          <w:lang w:val="pt-PT"/>
        </w:rPr>
        <w:t>subtilezas</w:t>
      </w:r>
      <w:r w:rsidR="00975CAE" w:rsidRPr="00495D1B">
        <w:rPr>
          <w:lang w:val="pt-PT"/>
        </w:rPr>
        <w:t xml:space="preserve"> </w:t>
      </w:r>
      <w:r w:rsidRPr="00495D1B">
        <w:rPr>
          <w:lang w:val="pt-PT"/>
        </w:rPr>
        <w:t xml:space="preserve">de formatação são intencionais; servem como lembretes para a </w:t>
      </w:r>
      <w:r w:rsidR="00EA4826" w:rsidRPr="00495D1B">
        <w:rPr>
          <w:lang w:val="pt-PT"/>
        </w:rPr>
        <w:t>equipa central</w:t>
      </w:r>
      <w:r w:rsidR="0090553B" w:rsidRPr="00495D1B">
        <w:rPr>
          <w:lang w:val="pt-PT"/>
        </w:rPr>
        <w:t xml:space="preserve"> de </w:t>
      </w:r>
      <w:r w:rsidRPr="00495D1B">
        <w:rPr>
          <w:lang w:val="pt-PT"/>
        </w:rPr>
        <w:t>planeamento</w:t>
      </w:r>
      <w:r w:rsidR="00975CAE">
        <w:rPr>
          <w:lang w:val="pt-PT"/>
        </w:rPr>
        <w:t xml:space="preserve"> de</w:t>
      </w:r>
      <w:r w:rsidRPr="00495D1B">
        <w:rPr>
          <w:lang w:val="pt-PT"/>
        </w:rPr>
        <w:t xml:space="preserve"> </w:t>
      </w:r>
      <w:r w:rsidR="00975CAE">
        <w:rPr>
          <w:lang w:val="pt-PT"/>
        </w:rPr>
        <w:t xml:space="preserve">múltiplas </w:t>
      </w:r>
      <w:bookmarkStart w:id="0" w:name="_GoBack"/>
      <w:bookmarkEnd w:id="0"/>
      <w:r w:rsidRPr="00495D1B">
        <w:rPr>
          <w:lang w:val="pt-PT"/>
        </w:rPr>
        <w:t xml:space="preserve">agências do PRESP para ajustar o modelo </w:t>
      </w:r>
      <w:r w:rsidR="00975CAE">
        <w:rPr>
          <w:lang w:val="pt-PT"/>
        </w:rPr>
        <w:t xml:space="preserve">do </w:t>
      </w:r>
      <w:r w:rsidRPr="00495D1B">
        <w:rPr>
          <w:lang w:val="pt-PT"/>
        </w:rPr>
        <w:t>PRESP ao ambiente operacional do seu aeroporto e aos recursos disponíveis.</w:t>
      </w:r>
    </w:p>
    <w:p w:rsidR="00FF534C" w:rsidRDefault="0030767B">
      <w:pPr>
        <w:rPr>
          <w:lang w:val="pt-PT"/>
        </w:rPr>
      </w:pPr>
      <w:r w:rsidRPr="00495D1B">
        <w:rPr>
          <w:lang w:val="pt-PT"/>
        </w:rPr>
        <w:t>As últimas páginas do modelo</w:t>
      </w:r>
      <w:r w:rsidR="00975CAE">
        <w:rPr>
          <w:lang w:val="pt-PT"/>
        </w:rPr>
        <w:t xml:space="preserve"> do</w:t>
      </w:r>
      <w:r w:rsidRPr="00495D1B">
        <w:rPr>
          <w:lang w:val="pt-PT"/>
        </w:rPr>
        <w:t xml:space="preserve"> PRESP fornecem exemplos de anexos, ou áreas onde a </w:t>
      </w:r>
      <w:r w:rsidR="00EA4826" w:rsidRPr="00495D1B">
        <w:rPr>
          <w:lang w:val="pt-PT"/>
        </w:rPr>
        <w:t>equipa central</w:t>
      </w:r>
      <w:r w:rsidR="0090553B" w:rsidRPr="00495D1B">
        <w:rPr>
          <w:lang w:val="pt-PT"/>
        </w:rPr>
        <w:t xml:space="preserve"> de</w:t>
      </w:r>
      <w:r w:rsidRPr="00495D1B">
        <w:rPr>
          <w:lang w:val="pt-PT"/>
        </w:rPr>
        <w:t xml:space="preserve"> planeamento</w:t>
      </w:r>
      <w:r w:rsidR="00975CAE">
        <w:rPr>
          <w:lang w:val="pt-PT"/>
        </w:rPr>
        <w:t xml:space="preserve"> de</w:t>
      </w:r>
      <w:r w:rsidRPr="00495D1B">
        <w:rPr>
          <w:lang w:val="pt-PT"/>
        </w:rPr>
        <w:t xml:space="preserve"> </w:t>
      </w:r>
      <w:r w:rsidR="00975CAE">
        <w:rPr>
          <w:lang w:val="pt-PT"/>
        </w:rPr>
        <w:t xml:space="preserve">múltiplas </w:t>
      </w:r>
      <w:r w:rsidRPr="00495D1B">
        <w:rPr>
          <w:lang w:val="pt-PT"/>
        </w:rPr>
        <w:t>agências do aeroporto pode optar por inserir protocolos ou formulários específicos.</w:t>
      </w:r>
    </w:p>
    <w:p w:rsidR="00FF534C" w:rsidRPr="00495D1B" w:rsidRDefault="00FF534C">
      <w:pPr>
        <w:rPr>
          <w:lang w:val="pt-PT"/>
        </w:rPr>
      </w:pPr>
    </w:p>
    <w:sectPr w:rsidR="00FF534C" w:rsidRPr="00495D1B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15EB3"/>
    <w:multiLevelType w:val="hybridMultilevel"/>
    <w:tmpl w:val="A7088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102491"/>
    <w:rsid w:val="00102491"/>
    <w:rsid w:val="00120C04"/>
    <w:rsid w:val="00125D53"/>
    <w:rsid w:val="00160EC6"/>
    <w:rsid w:val="00190E71"/>
    <w:rsid w:val="001A0D4F"/>
    <w:rsid w:val="00216DD8"/>
    <w:rsid w:val="0030767B"/>
    <w:rsid w:val="003E4339"/>
    <w:rsid w:val="00495D1B"/>
    <w:rsid w:val="005A12A6"/>
    <w:rsid w:val="005B4221"/>
    <w:rsid w:val="006A3168"/>
    <w:rsid w:val="00746F82"/>
    <w:rsid w:val="007E7713"/>
    <w:rsid w:val="00851370"/>
    <w:rsid w:val="008E1A90"/>
    <w:rsid w:val="0090553B"/>
    <w:rsid w:val="00935292"/>
    <w:rsid w:val="00975CAE"/>
    <w:rsid w:val="00A22191"/>
    <w:rsid w:val="00A40CA6"/>
    <w:rsid w:val="00A43A80"/>
    <w:rsid w:val="00A572E8"/>
    <w:rsid w:val="00B57012"/>
    <w:rsid w:val="00BB431D"/>
    <w:rsid w:val="00BD12C6"/>
    <w:rsid w:val="00BF0395"/>
    <w:rsid w:val="00CF4DE4"/>
    <w:rsid w:val="00CF7C96"/>
    <w:rsid w:val="00D26908"/>
    <w:rsid w:val="00D74A11"/>
    <w:rsid w:val="00DB48F5"/>
    <w:rsid w:val="00E753C1"/>
    <w:rsid w:val="00EA4826"/>
    <w:rsid w:val="00FC70C6"/>
    <w:rsid w:val="00FF5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9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02491"/>
    <w:pPr>
      <w:spacing w:after="0" w:line="240" w:lineRule="auto"/>
      <w:ind w:left="720"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8E1A90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8E1A90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8E1A90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8E1A90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8E1A90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E1A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E1A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316</Words>
  <Characters>1603</Characters>
  <Application>Microsoft Office Word</Application>
  <DocSecurity>0</DocSecurity>
  <Lines>145</Lines>
  <Paragraphs>79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9</cp:revision>
  <dcterms:created xsi:type="dcterms:W3CDTF">2018-07-24T11:55:00Z</dcterms:created>
  <dcterms:modified xsi:type="dcterms:W3CDTF">2021-08-17T12:11:00Z</dcterms:modified>
</cp:coreProperties>
</file>